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46" w:rsidRPr="009E30F1" w:rsidRDefault="00322346" w:rsidP="003223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30F1"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gramStart"/>
      <w:r w:rsidRPr="009E30F1">
        <w:rPr>
          <w:rFonts w:ascii="Times New Roman" w:hAnsi="Times New Roman"/>
          <w:sz w:val="20"/>
          <w:szCs w:val="20"/>
        </w:rPr>
        <w:t>Утверждено</w:t>
      </w:r>
      <w:proofErr w:type="gramEnd"/>
      <w:r w:rsidRPr="009E30F1">
        <w:rPr>
          <w:rFonts w:ascii="Times New Roman" w:hAnsi="Times New Roman" w:cs="Script MT Bold"/>
          <w:sz w:val="20"/>
          <w:szCs w:val="20"/>
        </w:rPr>
        <w:t xml:space="preserve">                                                                </w:t>
      </w:r>
      <w:r w:rsidRPr="009E30F1">
        <w:rPr>
          <w:rFonts w:ascii="Times New Roman" w:hAnsi="Times New Roman"/>
          <w:sz w:val="20"/>
          <w:szCs w:val="20"/>
        </w:rPr>
        <w:t>Введено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в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действие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приказом</w:t>
      </w:r>
      <w:r w:rsidRPr="009E30F1">
        <w:rPr>
          <w:rFonts w:ascii="Times New Roman" w:hAnsi="Times New Roman" w:cs="Script MT Bold"/>
          <w:sz w:val="20"/>
          <w:szCs w:val="20"/>
        </w:rPr>
        <w:t xml:space="preserve">                                                   </w:t>
      </w:r>
    </w:p>
    <w:p w:rsidR="00322346" w:rsidRPr="009E30F1" w:rsidRDefault="00322346" w:rsidP="003223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30F1">
        <w:rPr>
          <w:rFonts w:ascii="Times New Roman" w:hAnsi="Times New Roman"/>
          <w:sz w:val="20"/>
          <w:szCs w:val="20"/>
        </w:rPr>
        <w:t xml:space="preserve">                                  на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Совете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школы</w:t>
      </w:r>
      <w:r w:rsidRPr="009E30F1">
        <w:rPr>
          <w:rFonts w:ascii="Times New Roman" w:hAnsi="Times New Roman" w:cs="Script MT Bold"/>
          <w:sz w:val="20"/>
          <w:szCs w:val="20"/>
        </w:rPr>
        <w:t xml:space="preserve">               </w:t>
      </w:r>
      <w:r w:rsidRPr="009E30F1">
        <w:rPr>
          <w:rFonts w:ascii="Times New Roman" w:hAnsi="Times New Roman"/>
          <w:sz w:val="20"/>
          <w:szCs w:val="20"/>
        </w:rPr>
        <w:t xml:space="preserve">                                             №</w:t>
      </w:r>
      <w:r w:rsidRPr="009E30F1">
        <w:rPr>
          <w:rFonts w:ascii="Times New Roman" w:hAnsi="Times New Roman" w:cs="Script MT Bold"/>
          <w:sz w:val="20"/>
          <w:szCs w:val="20"/>
        </w:rPr>
        <w:t xml:space="preserve"> 64.1</w:t>
      </w:r>
      <w:r w:rsidRPr="009E30F1">
        <w:rPr>
          <w:rFonts w:ascii="Times New Roman" w:hAnsi="Times New Roman"/>
          <w:sz w:val="20"/>
          <w:szCs w:val="20"/>
        </w:rPr>
        <w:t xml:space="preserve">  от    29.08. 2015 года </w:t>
      </w:r>
      <w:r w:rsidRPr="009E30F1">
        <w:rPr>
          <w:rFonts w:ascii="Times New Roman" w:hAnsi="Times New Roman" w:cs="Script MT Bold"/>
          <w:sz w:val="20"/>
          <w:szCs w:val="20"/>
        </w:rPr>
        <w:t xml:space="preserve">                                                        </w:t>
      </w:r>
    </w:p>
    <w:p w:rsidR="00322346" w:rsidRPr="009E30F1" w:rsidRDefault="00322346" w:rsidP="003223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30F1">
        <w:rPr>
          <w:rFonts w:ascii="Times New Roman" w:hAnsi="Times New Roman"/>
          <w:sz w:val="20"/>
          <w:szCs w:val="20"/>
        </w:rPr>
        <w:t xml:space="preserve">            протокол № 3  от   28 августа   2015 г.</w:t>
      </w:r>
      <w:r w:rsidRPr="009E30F1">
        <w:rPr>
          <w:rFonts w:ascii="Times New Roman" w:hAnsi="Times New Roman" w:cs="Script MT Bold"/>
          <w:sz w:val="20"/>
          <w:szCs w:val="20"/>
        </w:rPr>
        <w:t xml:space="preserve">                                              </w:t>
      </w:r>
      <w:r w:rsidRPr="009E30F1">
        <w:rPr>
          <w:rFonts w:ascii="Times New Roman" w:hAnsi="Times New Roman"/>
          <w:sz w:val="20"/>
          <w:szCs w:val="20"/>
        </w:rPr>
        <w:t>Директор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МКОУ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Татевской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СОШ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322346" w:rsidRPr="009E30F1" w:rsidRDefault="00322346" w:rsidP="003223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30F1">
        <w:rPr>
          <w:rFonts w:ascii="Times New Roman" w:hAnsi="Times New Roman"/>
          <w:sz w:val="20"/>
          <w:szCs w:val="20"/>
        </w:rPr>
        <w:t xml:space="preserve">           Председатель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Совета</w:t>
      </w:r>
      <w:r w:rsidRPr="009E30F1">
        <w:rPr>
          <w:rFonts w:ascii="Times New Roman" w:hAnsi="Times New Roman" w:cs="Script MT Bold"/>
          <w:sz w:val="20"/>
          <w:szCs w:val="20"/>
        </w:rPr>
        <w:t xml:space="preserve">                                                                           </w:t>
      </w:r>
      <w:r w:rsidRPr="009E30F1">
        <w:rPr>
          <w:rFonts w:ascii="Times New Roman" w:hAnsi="Times New Roman"/>
          <w:sz w:val="20"/>
          <w:szCs w:val="20"/>
        </w:rPr>
        <w:t>имени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С</w:t>
      </w:r>
      <w:r w:rsidRPr="009E30F1">
        <w:rPr>
          <w:rFonts w:ascii="Times New Roman" w:hAnsi="Times New Roman" w:cs="Script MT Bold"/>
          <w:sz w:val="20"/>
          <w:szCs w:val="20"/>
        </w:rPr>
        <w:t>.</w:t>
      </w:r>
      <w:r w:rsidRPr="009E30F1">
        <w:rPr>
          <w:rFonts w:ascii="Times New Roman" w:hAnsi="Times New Roman"/>
          <w:sz w:val="20"/>
          <w:szCs w:val="20"/>
        </w:rPr>
        <w:t>А</w:t>
      </w:r>
      <w:r w:rsidRPr="009E30F1">
        <w:rPr>
          <w:rFonts w:ascii="Times New Roman" w:hAnsi="Times New Roman" w:cs="Script MT Bold"/>
          <w:sz w:val="20"/>
          <w:szCs w:val="20"/>
        </w:rPr>
        <w:t xml:space="preserve">. </w:t>
      </w:r>
      <w:r w:rsidRPr="009E30F1">
        <w:rPr>
          <w:rFonts w:ascii="Times New Roman" w:hAnsi="Times New Roman"/>
          <w:sz w:val="20"/>
          <w:szCs w:val="20"/>
        </w:rPr>
        <w:t>Рачинского</w:t>
      </w:r>
      <w:r w:rsidRPr="009E30F1">
        <w:rPr>
          <w:rFonts w:ascii="Times New Roman" w:hAnsi="Times New Roman" w:cs="Script MT Bold"/>
          <w:sz w:val="20"/>
          <w:szCs w:val="20"/>
        </w:rPr>
        <w:t xml:space="preserve">                                                                                            </w:t>
      </w:r>
      <w:r w:rsidRPr="009E30F1">
        <w:rPr>
          <w:rFonts w:ascii="Times New Roman" w:hAnsi="Times New Roman"/>
          <w:sz w:val="20"/>
          <w:szCs w:val="20"/>
        </w:rPr>
        <w:t xml:space="preserve">                                                              ___________ Щербакова </w:t>
      </w:r>
      <w:r w:rsidRPr="009E30F1">
        <w:rPr>
          <w:rFonts w:ascii="Times New Roman" w:hAnsi="Times New Roman" w:cs="Script MT Bold"/>
          <w:sz w:val="20"/>
          <w:szCs w:val="20"/>
        </w:rPr>
        <w:t xml:space="preserve"> </w:t>
      </w:r>
      <w:r w:rsidRPr="009E30F1">
        <w:rPr>
          <w:rFonts w:ascii="Times New Roman" w:hAnsi="Times New Roman"/>
          <w:sz w:val="20"/>
          <w:szCs w:val="20"/>
        </w:rPr>
        <w:t>Л</w:t>
      </w:r>
      <w:r w:rsidRPr="009E30F1">
        <w:rPr>
          <w:rFonts w:ascii="Times New Roman" w:hAnsi="Times New Roman" w:cs="Script MT Bold"/>
          <w:sz w:val="20"/>
          <w:szCs w:val="20"/>
        </w:rPr>
        <w:t xml:space="preserve">. В                                                    </w:t>
      </w:r>
      <w:r>
        <w:rPr>
          <w:rFonts w:ascii="Times New Roman" w:hAnsi="Times New Roman" w:cs="Script MT Bold"/>
          <w:sz w:val="20"/>
          <w:szCs w:val="20"/>
        </w:rPr>
        <w:t xml:space="preserve">                   ___________</w:t>
      </w:r>
      <w:r w:rsidRPr="009E30F1">
        <w:rPr>
          <w:rFonts w:ascii="Times New Roman" w:hAnsi="Times New Roman"/>
          <w:sz w:val="20"/>
          <w:szCs w:val="20"/>
        </w:rPr>
        <w:t>Марченкова</w:t>
      </w:r>
      <w:r w:rsidRPr="009E30F1">
        <w:rPr>
          <w:rFonts w:ascii="Times New Roman" w:hAnsi="Times New Roman" w:cs="Script MT Bold"/>
          <w:sz w:val="20"/>
          <w:szCs w:val="20"/>
        </w:rPr>
        <w:t xml:space="preserve">  </w:t>
      </w:r>
      <w:r w:rsidRPr="009E30F1">
        <w:rPr>
          <w:rFonts w:ascii="Times New Roman" w:hAnsi="Times New Roman"/>
          <w:sz w:val="20"/>
          <w:szCs w:val="20"/>
        </w:rPr>
        <w:t>В</w:t>
      </w:r>
      <w:r w:rsidRPr="009E30F1">
        <w:rPr>
          <w:rFonts w:ascii="Times New Roman" w:hAnsi="Times New Roman" w:cs="Script MT Bold"/>
          <w:sz w:val="20"/>
          <w:szCs w:val="20"/>
        </w:rPr>
        <w:t>.</w:t>
      </w:r>
      <w:r w:rsidRPr="009E30F1">
        <w:rPr>
          <w:rFonts w:ascii="Times New Roman" w:hAnsi="Times New Roman"/>
          <w:sz w:val="20"/>
          <w:szCs w:val="20"/>
        </w:rPr>
        <w:t>М</w:t>
      </w:r>
    </w:p>
    <w:p w:rsidR="00322346" w:rsidRDefault="00322346" w:rsidP="003223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2346" w:rsidRDefault="00322346" w:rsidP="00291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C6E" w:rsidRPr="00291C6E" w:rsidRDefault="00291C6E" w:rsidP="00291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об организации внеурочной деятельности </w:t>
      </w:r>
      <w:proofErr w:type="gramStart"/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291C6E" w:rsidRPr="00291C6E" w:rsidRDefault="00291C6E" w:rsidP="00291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осваивающих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образовательные программы 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ООО</w:t>
      </w:r>
      <w:proofErr w:type="gramEnd"/>
    </w:p>
    <w:p w:rsidR="00291C6E" w:rsidRPr="00291C6E" w:rsidRDefault="00291C6E" w:rsidP="00291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291C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Татевской СОШ имени С.А.Рачинского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Татевской СОШ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ециально организова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деятельность учащихся 1 - 9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представляющая собой неотъемлемую часть образовательного процесса в ОУ (далее – внеурочная деятельность ), отличная от урочной системы обучения.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– часть учебного плана. Учебный план является компонентом основной образовательной программы основного общего образования ОУ (ООП).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частей: инвариантной части и вариативной, включающей внеурочную деятельность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осуществляемую во второй половине дня.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часть формируется участниками образовательного процесса самостоятельно, обеспечивает региональные особенности содержания образования и индивидуальные потребности учащегося.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отведенн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на внеурочную деятельность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учитывается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ООП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ООО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внеурочных аудиторных занятий регламентируется следующим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образом: 1 класс – 30 минут, 2-9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– 40 минут.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внеаудиторных занятий (экскурсии, посещение выставок, театров и т.п.) не регламентируется.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 задачи.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внеурочной деятельности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(как составной части воспитательной системы ОУ) является 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содействие в формировании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1 – 9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готовности к самостоятельному выбору в пользу здорового образа жизни, качественного образования, самореализации в общественно значимой и личностно значимой творческой деятельности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формировании таких ценностей, как семья, Отечество, культура, мирное сосуществование разных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 экологическое благополучие;</w:t>
      </w:r>
    </w:p>
    <w:p w:rsid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содействие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обеспечении достижения ожидаемых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личностных результатов обучающихся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ООП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ООП ООО МКОУ Татевской СОШ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Направления, формы и виды организации внеурочной деятельности 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и виды внеурочной деятельности определяются в соответствии с ООП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Татевской СОШ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должны обеспечить достижение планируемых результатов обучающихся.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Татевская СОШ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разрабатывает и утверждает виды внеурочной деятельности по следующим основаниям: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месту проведения: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базе ОУ;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базе учреждений дополнительного образования, культуры, различных организаций, предприятий.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времени: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 в первой половине дня;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во второй половине дня;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 время каникул.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охвату учащихся: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•отдельный класс в полном составе;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•группы внутри одного класса;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•группы смешанного состава с одной параллели;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•группы смешанного состава с нескольких параллелей.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отношению к решению учебных задач: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•задачи воспитательной работы в ОУ;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•задачи воспитательной работы в классном коллективе;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•задачи отдельной воспитательной программы ОУ;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•задачи отдельной воспитательной программы ДОУ.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– составная часть учебно-воспитательного процесса в школе. Внеурочная деятельность может быть: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направленной на усвоение теоретических знаний и способов деятельности в процессе решения учебных задач;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внеучебной</w:t>
      </w:r>
      <w:proofErr w:type="spellEnd"/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направленной на социализацию обучаемых, развитие творческих способностей школьников во </w:t>
      </w:r>
      <w:proofErr w:type="spell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организуется по следующим направлениям: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Художественно-эстетическое;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Научно-познавательное;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Гражданско-патриотическое;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Общественно-полезная деятельность;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Проектная деятельность. 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внеурочной деятельности: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•Спортивно-оздоровительная деятельность;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Познавательная;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Исследовательская деятельность;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•Игровая;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Проблемно-ценностное общение (дискуссионные клубы, клубы по интересам, совет старшеклассников и т.п.);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spell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Досугово-развлекательная</w:t>
      </w:r>
      <w:proofErr w:type="spell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(</w:t>
      </w:r>
      <w:proofErr w:type="spell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общение);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Художественное творчество;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Социальное творчество (социально преобразующая добровольческая деятельность, в то числе волонтерская деятельность);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Техническое творчество;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Трудовая деятельность;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Туристская деятельность;</w:t>
      </w:r>
      <w:proofErr w:type="gramEnd"/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• Музейная деятельность.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3.6.Формы организации внеурочной деятельности: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Кружки,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Секции,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Проекты,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Викторины,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Познавательные игры,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Соревнования,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Общественно-полезная практика,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Факультативы,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Круглые столы,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Конференции,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Диспуты,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Интеллектуальные клубы,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Библиотечные вечера,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др.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внеурочной деятельности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программы внеурочной деятельности разрабатываются и утверждаются </w:t>
      </w:r>
      <w:r w:rsidR="006810B0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Татевской СОШ</w:t>
      </w:r>
      <w:r w:rsidR="006810B0"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 Возможно использование авторских программ.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внеурочной деятельности могут быть различных типов: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комплексные;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тематические;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ориентированные на достижение результатов по конкретным видам внеурочной деятельности;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индивидуальные.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4.3.Структура образовательной программы внеурочной деятельности: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тематическое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(по годам обучения);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показатели эффективности достижения панируемых результатов;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планируемые результаты;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учебной и внеурочной деятельности определяет ОУ самостоятельно.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внеурочной деятельности могут проводиться учителями начальных классов, учителями-предметниками, педагогами учреждений дополнительного образования.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занятости обучающихся внеурочной деятельностью осуществляется классным руководителем в Журнале учета внеурочной деятельности.</w:t>
      </w:r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занятий в Журнале учета должно соответствовать содержанию программы внеурочной деятельности.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Учёт внеурочных достижений обучающихся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5.1.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учёта внеурочных достижений обучающихся является портфолио.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составления портфолио являются: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развитие самостоятельности и объективности в оценке деятельности обучающихся, повышение их конкурентоспособности;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мотивация обучающихся в достижении индивидуальных учебных результатов через активное участие во внеурочной деятельности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91C6E" w:rsidRPr="00291C6E" w:rsidRDefault="00291C6E" w:rsidP="0029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переход на более объективную, справедливую и прозрачную форму оценивания достижений обучающихся.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составления портфолио являются: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систематизация результатов различных видов внеурочной деятельности обучающихся</w:t>
      </w:r>
      <w:proofErr w:type="gramStart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включая научную, творческую, спортивную и другую деятельность;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условий для индивидуализации оценки деятельности каждого обучающегося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</w:t>
      </w:r>
      <w:r w:rsidR="0068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Портфолио </w:t>
      </w:r>
      <w:r w:rsidR="006810B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соответствующим Положением. Она может включать следующие разделы: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I раздел «Мой портрет» (информация о владельце);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II раздел «Портфолио документов» (дипломы, грамоты, результаты тестирования);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III раздел «Конкурсы, спортивные соревнования»: раздел включает в себя участие в конкурсах различного уровня (школы, района, края), прописываются все спортивные достижения.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IV раздел «Олимпиады»: в данном разделе отражается участие обучающегося во всех предметных и тематических олимпиадах.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V раздел «Научно-исследовательская деятельность»: в этом разделе фиксируются все творческие работы, проектные работы, исследовательские работы.</w:t>
      </w:r>
      <w:r w:rsidRPr="00291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VI раздел «Общественно-культурная деятельность»: раздел включает весь спектр культурно-массовых мероприятий школы, района, области в которых обучающиеся принимали участие.</w:t>
      </w:r>
    </w:p>
    <w:p w:rsidR="00291C6E" w:rsidRPr="00291C6E" w:rsidRDefault="00291C6E" w:rsidP="00291C6E">
      <w:pPr>
        <w:rPr>
          <w:rFonts w:ascii="Times New Roman" w:hAnsi="Times New Roman" w:cs="Times New Roman"/>
          <w:sz w:val="24"/>
          <w:szCs w:val="24"/>
        </w:rPr>
      </w:pPr>
    </w:p>
    <w:p w:rsidR="00DB6E62" w:rsidRPr="00291C6E" w:rsidRDefault="00DB6E62">
      <w:pPr>
        <w:rPr>
          <w:rFonts w:ascii="Times New Roman" w:hAnsi="Times New Roman" w:cs="Times New Roman"/>
          <w:sz w:val="24"/>
          <w:szCs w:val="24"/>
        </w:rPr>
      </w:pPr>
    </w:p>
    <w:sectPr w:rsidR="00DB6E62" w:rsidRPr="00291C6E" w:rsidSect="00724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1C6E"/>
    <w:rsid w:val="002848AB"/>
    <w:rsid w:val="00291C6E"/>
    <w:rsid w:val="00322346"/>
    <w:rsid w:val="006810B0"/>
    <w:rsid w:val="00DB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2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</cp:lastModifiedBy>
  <cp:revision>2</cp:revision>
  <dcterms:created xsi:type="dcterms:W3CDTF">2016-02-15T20:13:00Z</dcterms:created>
  <dcterms:modified xsi:type="dcterms:W3CDTF">2002-01-01T05:28:00Z</dcterms:modified>
</cp:coreProperties>
</file>